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936000" cy="4251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kpj-logo-240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36000" cy="4251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  <w:color w:val="002999"/>
          <w:sz w:val="40"/>
        </w:rPr>
        <w:t>Checklista zmiany biura rachunkowego</w:t>
      </w:r>
    </w:p>
    <w:p>
      <w:r>
        <w:rPr>
          <w:sz w:val="22"/>
        </w:rPr>
        <w:t>Krok po kroku: od wyboru nowego biura do pierwszego miesiąca współpracy. Odhaczaj kolejne punkty.</w:t>
      </w:r>
    </w:p>
    <w:p>
      <w:pPr>
        <w:spacing w:before="240"/>
      </w:pPr>
      <w:r>
        <w:rPr>
          <w:b/>
          <w:color w:val="0045FF"/>
          <w:sz w:val="26"/>
        </w:rPr>
        <w:t>1. Zanim wypowiesz umowę</w:t>
      </w:r>
    </w:p>
    <w:p>
      <w:pPr>
        <w:spacing w:after="60"/>
        <w:ind w:left="397" w:hanging="397"/>
      </w:pPr>
      <w:r>
        <w:rPr>
          <w:sz w:val="24"/>
        </w:rPr>
        <w:t xml:space="preserve">☐  </w:t>
      </w:r>
      <w:r>
        <w:t>Sprawdź w umowie okres i formę wypowiedzenia oraz obowiązek przekazania dokumentów.</w:t>
      </w:r>
    </w:p>
    <w:p>
      <w:pPr>
        <w:spacing w:after="60"/>
        <w:ind w:left="397" w:hanging="397"/>
      </w:pPr>
      <w:r>
        <w:rPr>
          <w:sz w:val="24"/>
        </w:rPr>
        <w:t xml:space="preserve">☐  </w:t>
      </w:r>
      <w:r>
        <w:t>Wybierz nowe biuro: zakres usług, cena, ubezpieczenie OC, kto będzie Twoim księgowym.</w:t>
      </w:r>
    </w:p>
    <w:p>
      <w:pPr>
        <w:spacing w:after="60"/>
        <w:ind w:left="397" w:hanging="397"/>
      </w:pPr>
      <w:r>
        <w:rPr>
          <w:sz w:val="24"/>
        </w:rPr>
        <w:t xml:space="preserve">☐  </w:t>
      </w:r>
      <w:r>
        <w:t>Zapytaj obecne biuro, w jakim programie prowadzi Twoją księgowość (ułatwia przejęcie bazy danych).</w:t>
      </w:r>
    </w:p>
    <w:p>
      <w:pPr>
        <w:spacing w:after="60"/>
        <w:ind w:left="397" w:hanging="397"/>
      </w:pPr>
      <w:r>
        <w:rPr>
          <w:sz w:val="24"/>
        </w:rPr>
        <w:t xml:space="preserve">☐  </w:t>
      </w:r>
      <w:r>
        <w:t>Ustal z nowym biurem datę startu — najlepiej pierwszy dzień miesiąca.</w:t>
      </w:r>
    </w:p>
    <w:p>
      <w:pPr>
        <w:spacing w:after="60"/>
        <w:ind w:left="397" w:hanging="397"/>
      </w:pPr>
      <w:r>
        <w:rPr>
          <w:sz w:val="24"/>
        </w:rPr>
        <w:t xml:space="preserve">☐  </w:t>
      </w:r>
      <w:r>
        <w:t>Ustal na piśmie, które biuro przygotuje rozliczenie roczne (PIT/CIT, sprawozdanie, PIT-11) za rok zmiany.</w:t>
      </w:r>
    </w:p>
    <w:p>
      <w:pPr>
        <w:spacing w:before="240"/>
      </w:pPr>
      <w:r>
        <w:rPr>
          <w:b/>
          <w:color w:val="0045FF"/>
          <w:sz w:val="26"/>
        </w:rPr>
        <w:t>2. Wypowiedzenie umowy</w:t>
      </w:r>
    </w:p>
    <w:p>
      <w:pPr>
        <w:spacing w:after="60"/>
        <w:ind w:left="397" w:hanging="397"/>
      </w:pPr>
      <w:r>
        <w:rPr>
          <w:sz w:val="24"/>
        </w:rPr>
        <w:t xml:space="preserve">☐  </w:t>
      </w:r>
      <w:r>
        <w:t>Złóż wypowiedzenie w formie z umowy (pisemnie lub mailowo) i zachowaj potwierdzenie.</w:t>
      </w:r>
    </w:p>
    <w:p>
      <w:pPr>
        <w:spacing w:after="60"/>
        <w:ind w:left="397" w:hanging="397"/>
      </w:pPr>
      <w:r>
        <w:rPr>
          <w:sz w:val="24"/>
        </w:rPr>
        <w:t xml:space="preserve">☐  </w:t>
      </w:r>
      <w:r>
        <w:t>Wskaż ostatni miesiąc, który rozlicza dotychczasowe biuro.</w:t>
      </w:r>
    </w:p>
    <w:p>
      <w:pPr>
        <w:spacing w:after="60"/>
        <w:ind w:left="397" w:hanging="397"/>
      </w:pPr>
      <w:r>
        <w:rPr>
          <w:sz w:val="24"/>
        </w:rPr>
        <w:t xml:space="preserve">☐  </w:t>
      </w:r>
      <w:r>
        <w:t>Poproś o przygotowanie dokumentów i bazy danych do przekazania na wskazany dzień.</w:t>
      </w:r>
    </w:p>
    <w:p>
      <w:pPr>
        <w:spacing w:before="240"/>
      </w:pPr>
      <w:r>
        <w:rPr>
          <w:b/>
          <w:color w:val="0045FF"/>
          <w:sz w:val="26"/>
        </w:rPr>
        <w:t>3. Przekazanie dokumentów i danych</w:t>
      </w:r>
    </w:p>
    <w:p>
      <w:pPr>
        <w:spacing w:after="60"/>
        <w:ind w:left="397" w:hanging="397"/>
      </w:pPr>
      <w:r>
        <w:rPr>
          <w:sz w:val="24"/>
        </w:rPr>
        <w:t xml:space="preserve">☐  </w:t>
      </w:r>
      <w:r>
        <w:t>Kopia bazy danych z programu księgowego (pełny eksport) za bieżący i poprzedni rok — to Twoja księga rachunkowa.</w:t>
      </w:r>
    </w:p>
    <w:p>
      <w:pPr>
        <w:spacing w:after="60"/>
        <w:ind w:left="397" w:hanging="397"/>
      </w:pPr>
      <w:r>
        <w:rPr>
          <w:sz w:val="24"/>
        </w:rPr>
        <w:t xml:space="preserve">☐  </w:t>
      </w:r>
      <w:r>
        <w:t>Księgi rachunkowe lub KPiR, ewidencje VAT i JPK za bieżący rok.</w:t>
      </w:r>
    </w:p>
    <w:p>
      <w:pPr>
        <w:spacing w:after="60"/>
        <w:ind w:left="397" w:hanging="397"/>
      </w:pPr>
      <w:r>
        <w:rPr>
          <w:sz w:val="24"/>
        </w:rPr>
        <w:t xml:space="preserve">☐  </w:t>
      </w:r>
      <w:r>
        <w:t>Ewidencja środków trwałych i wartości niematerialnych z planem amortyzacji.</w:t>
      </w:r>
    </w:p>
    <w:p>
      <w:pPr>
        <w:spacing w:after="60"/>
        <w:ind w:left="397" w:hanging="397"/>
      </w:pPr>
      <w:r>
        <w:rPr>
          <w:sz w:val="24"/>
        </w:rPr>
        <w:t xml:space="preserve">☐  </w:t>
      </w:r>
      <w:r>
        <w:t>Deklaracje podatkowe i ZUS za ostatnie okresy z potwierdzeniami wysyłki (UPO).</w:t>
      </w:r>
    </w:p>
    <w:p>
      <w:pPr>
        <w:spacing w:after="60"/>
        <w:ind w:left="397" w:hanging="397"/>
      </w:pPr>
      <w:r>
        <w:rPr>
          <w:sz w:val="24"/>
        </w:rPr>
        <w:t xml:space="preserve">☐  </w:t>
      </w:r>
      <w:r>
        <w:t>Ostatnie sprawozdanie finansowe i bilans otwarcia (spółki).</w:t>
      </w:r>
    </w:p>
    <w:p>
      <w:pPr>
        <w:spacing w:after="60"/>
        <w:ind w:left="397" w:hanging="397"/>
      </w:pPr>
      <w:r>
        <w:rPr>
          <w:sz w:val="24"/>
        </w:rPr>
        <w:t xml:space="preserve">☐  </w:t>
      </w:r>
      <w:r>
        <w:t>Salda rozrachunków z kontrahentami oraz z urzędem skarbowym i ZUS.</w:t>
      </w:r>
    </w:p>
    <w:p>
      <w:pPr>
        <w:spacing w:after="60"/>
        <w:ind w:left="397" w:hanging="397"/>
      </w:pPr>
      <w:r>
        <w:rPr>
          <w:sz w:val="24"/>
        </w:rPr>
        <w:t xml:space="preserve">☐  </w:t>
      </w:r>
      <w:r>
        <w:t>Kadry: akta osobowe, listy płac, deklaracje ZUS, dokumentacja PPK (jeśli biuro prowadziło kadry).</w:t>
      </w:r>
    </w:p>
    <w:p>
      <w:pPr>
        <w:spacing w:after="60"/>
        <w:ind w:left="397" w:hanging="397"/>
      </w:pPr>
      <w:r>
        <w:rPr>
          <w:sz w:val="24"/>
        </w:rPr>
        <w:t xml:space="preserve">☐  </w:t>
      </w:r>
      <w:r>
        <w:t>Dokumenty źródłowe (faktury, wyciągi, umowy) w wersji papierowej lub elektronicznej.</w:t>
      </w:r>
    </w:p>
    <w:p>
      <w:pPr>
        <w:spacing w:after="60"/>
        <w:ind w:left="397" w:hanging="397"/>
      </w:pPr>
      <w:r>
        <w:rPr>
          <w:sz w:val="24"/>
        </w:rPr>
        <w:t xml:space="preserve">☐  </w:t>
      </w:r>
      <w:r>
        <w:t>Protokół przekazania: co, za jaki okres i w jakiej formie.</w:t>
      </w:r>
    </w:p>
    <w:p>
      <w:pPr>
        <w:spacing w:before="240"/>
      </w:pPr>
      <w:r>
        <w:rPr>
          <w:b/>
          <w:color w:val="0045FF"/>
          <w:sz w:val="26"/>
        </w:rPr>
        <w:t>4. Pełnomocnictwa i dostępy</w:t>
      </w:r>
    </w:p>
    <w:p>
      <w:pPr>
        <w:spacing w:after="60"/>
        <w:ind w:left="397" w:hanging="397"/>
      </w:pPr>
      <w:r>
        <w:rPr>
          <w:sz w:val="24"/>
        </w:rPr>
        <w:t xml:space="preserve">☐  </w:t>
      </w:r>
      <w:r>
        <w:t>Urząd skarbowy: odwołaj pełnomocnictwo starego biura (OPL-1) i udziel nowego (UPL-1) — online w e-Urzędzie Skarbowym.</w:t>
      </w:r>
    </w:p>
    <w:p>
      <w:pPr>
        <w:spacing w:after="60"/>
        <w:ind w:left="397" w:hanging="397"/>
      </w:pPr>
      <w:r>
        <w:rPr>
          <w:sz w:val="24"/>
        </w:rPr>
        <w:t xml:space="preserve">☐  </w:t>
      </w:r>
      <w:r>
        <w:t>ZUS: odwołaj pełnomocnictwo (PEL-O) i udziel nowego (PEL) — online na portalu eZUS (PUE ZUS).</w:t>
      </w:r>
    </w:p>
    <w:p>
      <w:pPr>
        <w:spacing w:after="60"/>
        <w:ind w:left="397" w:hanging="397"/>
      </w:pPr>
      <w:r>
        <w:rPr>
          <w:sz w:val="24"/>
        </w:rPr>
        <w:t xml:space="preserve">☐  </w:t>
      </w:r>
      <w:r>
        <w:t>KSeF: odbierz uprawnienia staremu biuru i nadaj nowemu.</w:t>
      </w:r>
    </w:p>
    <w:p>
      <w:pPr>
        <w:spacing w:after="60"/>
        <w:ind w:left="397" w:hanging="397"/>
      </w:pPr>
      <w:r>
        <w:rPr>
          <w:sz w:val="24"/>
        </w:rPr>
        <w:t xml:space="preserve">☐  </w:t>
      </w:r>
      <w:r>
        <w:t>e-Urząd Skarbowy: zmień użytkownika szczególnego (dostęp księgowego).</w:t>
      </w:r>
    </w:p>
    <w:p>
      <w:pPr>
        <w:spacing w:after="60"/>
        <w:ind w:left="397" w:hanging="397"/>
      </w:pPr>
      <w:r>
        <w:rPr>
          <w:sz w:val="24"/>
        </w:rPr>
        <w:t xml:space="preserve">☐  </w:t>
      </w:r>
      <w:r>
        <w:t>Bank, aplikacja do dokumentów, program do faktur: zmień dostępy księgowej.</w:t>
      </w:r>
    </w:p>
    <w:p>
      <w:pPr>
        <w:spacing w:before="240"/>
      </w:pPr>
      <w:r>
        <w:rPr>
          <w:b/>
          <w:color w:val="0045FF"/>
          <w:sz w:val="26"/>
        </w:rPr>
        <w:t>5. Formalności po zmianie</w:t>
      </w:r>
    </w:p>
    <w:p>
      <w:pPr>
        <w:spacing w:after="60"/>
        <w:ind w:left="397" w:hanging="397"/>
      </w:pPr>
      <w:r>
        <w:rPr>
          <w:sz w:val="24"/>
        </w:rPr>
        <w:t xml:space="preserve">☐  </w:t>
      </w:r>
      <w:r>
        <w:t>JDG: zmień w CEIDG miejsce przechowywania dokumentacji rachunkowej (7 dni od zmiany).</w:t>
      </w:r>
    </w:p>
    <w:p>
      <w:pPr>
        <w:spacing w:after="60"/>
        <w:ind w:left="397" w:hanging="397"/>
      </w:pPr>
      <w:r>
        <w:rPr>
          <w:sz w:val="24"/>
        </w:rPr>
        <w:t xml:space="preserve">☐  </w:t>
      </w:r>
      <w:r>
        <w:t>Spółka: zgłoś zmianę miejsca przechowywania ksiąg na NIP-8.</w:t>
      </w:r>
    </w:p>
    <w:p>
      <w:pPr>
        <w:spacing w:after="60"/>
        <w:ind w:left="397" w:hanging="397"/>
      </w:pPr>
      <w:r>
        <w:rPr>
          <w:sz w:val="24"/>
        </w:rPr>
        <w:t xml:space="preserve">☐  </w:t>
      </w:r>
      <w:r>
        <w:t>Poinformuj pracowników i kontrahentów, jeśli zmienia się adres do korespondencji w sprawach płac lub faktur.</w:t>
      </w:r>
    </w:p>
    <w:p>
      <w:pPr>
        <w:spacing w:before="240"/>
      </w:pPr>
      <w:r>
        <w:rPr>
          <w:b/>
          <w:color w:val="0045FF"/>
          <w:sz w:val="26"/>
        </w:rPr>
        <w:t>6. Pierwszy miesiąc w nowym biurze</w:t>
      </w:r>
    </w:p>
    <w:p>
      <w:pPr>
        <w:spacing w:after="60"/>
        <w:ind w:left="397" w:hanging="397"/>
      </w:pPr>
      <w:r>
        <w:rPr>
          <w:sz w:val="24"/>
        </w:rPr>
        <w:t xml:space="preserve">☐  </w:t>
      </w:r>
      <w:r>
        <w:t>Przekaż dokumenty za pierwszy miesiąc w ustalony sposób i terminie.</w:t>
      </w:r>
    </w:p>
    <w:p>
      <w:pPr>
        <w:spacing w:after="60"/>
        <w:ind w:left="397" w:hanging="397"/>
      </w:pPr>
      <w:r>
        <w:rPr>
          <w:sz w:val="24"/>
        </w:rPr>
        <w:t xml:space="preserve">☐  </w:t>
      </w:r>
      <w:r>
        <w:t>Sprawdź z nowym biurem stan ksiąg i listę ewentualnych zaległości.</w:t>
      </w:r>
    </w:p>
    <w:p>
      <w:pPr>
        <w:spacing w:after="60"/>
        <w:ind w:left="397" w:hanging="397"/>
      </w:pPr>
      <w:r>
        <w:rPr>
          <w:sz w:val="24"/>
        </w:rPr>
        <w:t xml:space="preserve">☐  </w:t>
      </w:r>
      <w:r>
        <w:t>Potwierdź terminy płatności: VAT, zaliczki na podatek, ZUS, wynagrodzenia.</w:t>
      </w:r>
    </w:p>
    <w:p>
      <w:pPr>
        <w:spacing w:before="320"/>
      </w:pPr>
      <w:r>
        <w:rPr>
          <w:color w:val="002999"/>
          <w:sz w:val="18"/>
        </w:rPr>
        <w:t>Biuro Rachunkowe KPJ · kpj.pl · kontakt@kpj.pl · +48 22 408 70 80 — przejmiemy Twoją księgowość od dotychczasowego biura.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0D1A4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Checklista zmiany biura rachunkowego</dc:title>
  <dc:subject/>
  <dc:creator>Biuro Rachunkowe KPJ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